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CC88C" w14:textId="09EF5449" w:rsidR="006A09A5" w:rsidRPr="001432D6" w:rsidRDefault="006A09A5" w:rsidP="006A09A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1432D6">
        <w:rPr>
          <w:rFonts w:ascii="Arial" w:eastAsia="Batang" w:hAnsi="Arial" w:cs="Arial"/>
          <w:b/>
          <w:bCs/>
          <w:sz w:val="28"/>
          <w:szCs w:val="24"/>
          <w:lang w:eastAsia="en-US"/>
        </w:rPr>
        <w:t>3GPP TSG RAN WG1 #120</w:t>
      </w:r>
      <w:r w:rsidRPr="001432D6">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Pr="001432D6">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Pr="001432D6">
        <w:rPr>
          <w:rFonts w:ascii="Arial" w:eastAsia="Batang" w:hAnsi="Arial" w:cs="Arial"/>
          <w:b/>
          <w:bCs/>
          <w:sz w:val="28"/>
          <w:szCs w:val="24"/>
          <w:lang w:eastAsia="en-US"/>
        </w:rPr>
        <w:t>R1-</w:t>
      </w:r>
      <w:r w:rsidR="00350558" w:rsidRPr="00350558">
        <w:t xml:space="preserve"> </w:t>
      </w:r>
      <w:r w:rsidR="00350558" w:rsidRPr="00350558">
        <w:rPr>
          <w:rFonts w:ascii="Arial" w:eastAsia="Batang" w:hAnsi="Arial" w:cs="Arial"/>
          <w:b/>
          <w:bCs/>
          <w:sz w:val="28"/>
          <w:szCs w:val="24"/>
          <w:lang w:eastAsia="en-US"/>
        </w:rPr>
        <w:t>2501125</w:t>
      </w:r>
    </w:p>
    <w:p w14:paraId="37468132" w14:textId="77777777" w:rsidR="006A09A5" w:rsidRPr="001432D6" w:rsidRDefault="006A09A5" w:rsidP="006A09A5">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1432D6">
        <w:rPr>
          <w:rFonts w:ascii="Arial" w:eastAsia="MS Mincho" w:hAnsi="Arial" w:cs="Arial"/>
          <w:b/>
          <w:bCs/>
          <w:sz w:val="28"/>
          <w:szCs w:val="24"/>
          <w:lang w:eastAsia="ja-JP"/>
        </w:rPr>
        <w:t xml:space="preserve">Athens, Greece, </w:t>
      </w:r>
      <w:r w:rsidRPr="001432D6">
        <w:rPr>
          <w:rFonts w:ascii="Malgun Gothic" w:eastAsia="Malgun Gothic" w:hAnsi="Malgun Gothic" w:cs="Malgun Gothic"/>
          <w:b/>
          <w:bCs/>
          <w:sz w:val="28"/>
          <w:szCs w:val="24"/>
          <w:lang w:eastAsia="ko-KR"/>
        </w:rPr>
        <w:t xml:space="preserve">February </w:t>
      </w:r>
      <w:r w:rsidRPr="001432D6">
        <w:rPr>
          <w:rFonts w:ascii="Arial" w:eastAsia="MS Mincho" w:hAnsi="Arial" w:cs="Arial"/>
          <w:b/>
          <w:bCs/>
          <w:sz w:val="28"/>
          <w:szCs w:val="24"/>
          <w:lang w:eastAsia="ja-JP"/>
        </w:rPr>
        <w:t>17</w:t>
      </w:r>
      <w:r w:rsidRPr="001432D6">
        <w:rPr>
          <w:rFonts w:ascii="Malgun Gothic" w:eastAsia="Malgun Gothic" w:hAnsi="Malgun Gothic" w:cs="Malgun Gothic" w:hint="eastAsia"/>
          <w:b/>
          <w:bCs/>
          <w:sz w:val="28"/>
          <w:szCs w:val="24"/>
          <w:vertAlign w:val="superscript"/>
          <w:lang w:eastAsia="ko-KR"/>
        </w:rPr>
        <w:t>th</w:t>
      </w:r>
      <w:r w:rsidRPr="001432D6">
        <w:rPr>
          <w:rFonts w:ascii="Arial" w:eastAsia="MS Mincho" w:hAnsi="Arial" w:cs="Arial"/>
          <w:b/>
          <w:bCs/>
          <w:sz w:val="28"/>
          <w:szCs w:val="24"/>
          <w:lang w:eastAsia="ja-JP"/>
        </w:rPr>
        <w:t xml:space="preserve"> </w:t>
      </w:r>
      <w:r w:rsidRPr="001432D6">
        <w:rPr>
          <w:rFonts w:ascii="Arial" w:eastAsia="Batang" w:hAnsi="Arial" w:cs="Arial"/>
          <w:b/>
          <w:bCs/>
          <w:sz w:val="28"/>
          <w:szCs w:val="24"/>
          <w:lang w:eastAsia="en-US"/>
        </w:rPr>
        <w:t>– 21</w:t>
      </w:r>
      <w:r w:rsidRPr="001432D6">
        <w:rPr>
          <w:rFonts w:ascii="Arial" w:eastAsia="Batang" w:hAnsi="Arial" w:cs="Arial"/>
          <w:b/>
          <w:bCs/>
          <w:sz w:val="28"/>
          <w:szCs w:val="24"/>
          <w:vertAlign w:val="superscript"/>
          <w:lang w:eastAsia="en-US"/>
        </w:rPr>
        <w:t>st</w:t>
      </w:r>
      <w:r w:rsidRPr="001432D6">
        <w:rPr>
          <w:rFonts w:ascii="Arial" w:eastAsia="MS Mincho" w:hAnsi="Arial" w:cs="Arial"/>
          <w:b/>
          <w:bCs/>
          <w:sz w:val="28"/>
          <w:szCs w:val="24"/>
          <w:lang w:eastAsia="ja-JP"/>
        </w:rPr>
        <w:t>, 2025</w:t>
      </w:r>
    </w:p>
    <w:bookmarkEnd w:id="0"/>
    <w:p w14:paraId="6B39F772" w14:textId="77777777" w:rsidR="00D93A56" w:rsidRPr="006A09A5" w:rsidRDefault="00D93A56" w:rsidP="00CF2979">
      <w:pPr>
        <w:pStyle w:val="3GPPHeader"/>
        <w:tabs>
          <w:tab w:val="clear" w:pos="1701"/>
          <w:tab w:val="left" w:pos="0"/>
        </w:tabs>
        <w:spacing w:afterLines="50" w:after="180"/>
      </w:pPr>
    </w:p>
    <w:p w14:paraId="0A356815" w14:textId="3162AED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6A09A5">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0AA2F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8E4065">
        <w:rPr>
          <w:rFonts w:ascii="Arial" w:hAnsi="Arial" w:cs="Arial" w:hint="eastAsia"/>
          <w:sz w:val="22"/>
          <w:szCs w:val="22"/>
          <w:lang w:val="en-US" w:eastAsia="zh-TW"/>
        </w:rPr>
        <w:t>e</w:t>
      </w:r>
      <w:r w:rsidR="00FC15C8">
        <w:rPr>
          <w:rFonts w:ascii="Arial" w:hAnsi="Arial" w:cs="Arial" w:hint="eastAsia"/>
          <w:sz w:val="22"/>
          <w:szCs w:val="22"/>
          <w:lang w:val="en-US" w:eastAsia="zh-TW"/>
        </w:rPr>
        <w:t>n</w:t>
      </w:r>
      <w:r w:rsidR="00FC15C8">
        <w:rPr>
          <w:rFonts w:ascii="Arial" w:hAnsi="Arial" w:cs="Arial"/>
          <w:sz w:val="22"/>
          <w:szCs w:val="22"/>
          <w:lang w:val="en-US" w:eastAsia="zh-TW"/>
        </w:rPr>
        <w:t xml:space="preserve">d </w:t>
      </w:r>
      <w:r w:rsidR="008E4065">
        <w:rPr>
          <w:rFonts w:ascii="Arial" w:hAnsi="Arial" w:cs="Arial"/>
          <w:sz w:val="22"/>
          <w:szCs w:val="22"/>
          <w:lang w:val="en-US" w:eastAsia="zh-TW"/>
        </w:rPr>
        <w:t>t</w:t>
      </w:r>
      <w:r w:rsidR="006A09A5" w:rsidRPr="006A09A5">
        <w:rPr>
          <w:rFonts w:ascii="Arial" w:hAnsi="Arial" w:cs="Arial"/>
          <w:sz w:val="22"/>
          <w:szCs w:val="22"/>
          <w:lang w:val="en-US" w:eastAsia="zh-TW"/>
        </w:rPr>
        <w:t>iming acquisition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0866B2CC" w:rsidR="00C5443F" w:rsidRDefault="00A772AC" w:rsidP="004E31C5">
      <w:pPr>
        <w:spacing w:after="0"/>
        <w:jc w:val="both"/>
        <w:rPr>
          <w:sz w:val="22"/>
          <w:szCs w:val="22"/>
        </w:rPr>
      </w:pPr>
      <w:r w:rsidRPr="00A772AC">
        <w:rPr>
          <w:sz w:val="22"/>
          <w:szCs w:val="22"/>
        </w:rPr>
        <w:t xml:space="preserve">In </w:t>
      </w:r>
      <w:r w:rsidR="00EC1225">
        <w:rPr>
          <w:sz w:val="22"/>
          <w:szCs w:val="22"/>
        </w:rPr>
        <w:t>R</w:t>
      </w:r>
      <w:r w:rsidRPr="00A772AC">
        <w:rPr>
          <w:sz w:val="22"/>
          <w:szCs w:val="22"/>
        </w:rPr>
        <w:t>AN1 meeting</w:t>
      </w:r>
      <w:r w:rsidR="004E31C5">
        <w:rPr>
          <w:sz w:val="22"/>
          <w:szCs w:val="22"/>
        </w:rPr>
        <w:t>s</w:t>
      </w:r>
      <w:r w:rsidRPr="00A772AC">
        <w:rPr>
          <w:sz w:val="22"/>
          <w:szCs w:val="22"/>
        </w:rPr>
        <w:t>, there are some agreements.</w:t>
      </w:r>
    </w:p>
    <w:p w14:paraId="38ED1CA6" w14:textId="77777777" w:rsidR="00525C9D" w:rsidRPr="00525C9D" w:rsidRDefault="00525C9D" w:rsidP="00525C9D">
      <w:pPr>
        <w:overflowPunct/>
        <w:autoSpaceDE/>
        <w:autoSpaceDN/>
        <w:snapToGrid w:val="0"/>
        <w:spacing w:beforeLines="50" w:before="180" w:after="0"/>
        <w:jc w:val="both"/>
        <w:textAlignment w:val="auto"/>
        <w:rPr>
          <w:rFonts w:eastAsia="DengXian"/>
          <w:bCs/>
          <w:lang w:eastAsia="zh-CN"/>
        </w:rPr>
      </w:pPr>
      <w:r w:rsidRPr="00525C9D">
        <w:rPr>
          <w:rFonts w:eastAsia="DengXian"/>
          <w:bCs/>
          <w:highlight w:val="green"/>
          <w:lang w:eastAsia="zh-CN"/>
        </w:rPr>
        <w:t>Agreement</w:t>
      </w:r>
    </w:p>
    <w:p w14:paraId="7B70CFD0" w14:textId="77777777" w:rsidR="00525C9D" w:rsidRPr="00525C9D" w:rsidRDefault="00525C9D" w:rsidP="00525C9D">
      <w:pPr>
        <w:overflowPunct/>
        <w:autoSpaceDE/>
        <w:autoSpaceDN/>
        <w:snapToGrid w:val="0"/>
        <w:spacing w:after="0"/>
        <w:jc w:val="both"/>
        <w:textAlignment w:val="auto"/>
        <w:rPr>
          <w:rFonts w:eastAsia="Batang"/>
          <w:lang w:eastAsia="zh-CN"/>
        </w:rPr>
      </w:pPr>
      <w:r w:rsidRPr="00525C9D">
        <w:rPr>
          <w:rFonts w:eastAsia="Batang"/>
          <w:lang w:eastAsia="zh-CN"/>
        </w:rPr>
        <w:t>Scheduling information of PDRCH transmission is provided by a corresponding PRDCH.</w:t>
      </w:r>
    </w:p>
    <w:p w14:paraId="1180724A" w14:textId="04ABCA0B" w:rsidR="00525C9D" w:rsidRPr="00525C9D" w:rsidRDefault="00525C9D" w:rsidP="00525C9D">
      <w:pPr>
        <w:overflowPunct/>
        <w:autoSpaceDE/>
        <w:autoSpaceDN/>
        <w:snapToGrid w:val="0"/>
        <w:spacing w:beforeLines="50" w:before="180" w:after="0"/>
        <w:jc w:val="both"/>
        <w:textAlignment w:val="auto"/>
        <w:rPr>
          <w:rFonts w:eastAsia="DengXian"/>
          <w:kern w:val="2"/>
          <w:highlight w:val="green"/>
          <w:lang w:eastAsia="zh-CN"/>
        </w:rPr>
      </w:pPr>
      <w:r w:rsidRPr="00525C9D">
        <w:rPr>
          <w:rFonts w:eastAsia="Malgun Gothic"/>
          <w:bCs/>
          <w:kern w:val="2"/>
          <w:highlight w:val="green"/>
          <w:lang w:eastAsia="zh-CN"/>
        </w:rPr>
        <w:t>Agreement</w:t>
      </w:r>
    </w:p>
    <w:p w14:paraId="07AD2AEC" w14:textId="77777777" w:rsidR="00525C9D" w:rsidRPr="00525C9D" w:rsidRDefault="00525C9D" w:rsidP="00525C9D">
      <w:pPr>
        <w:overflowPunct/>
        <w:autoSpaceDE/>
        <w:autoSpaceDN/>
        <w:snapToGrid w:val="0"/>
        <w:spacing w:after="0"/>
        <w:jc w:val="both"/>
        <w:textAlignment w:val="auto"/>
        <w:rPr>
          <w:rFonts w:eastAsia="Batang"/>
          <w:color w:val="000000"/>
          <w:lang w:eastAsia="en-US"/>
        </w:rPr>
      </w:pPr>
      <w:r w:rsidRPr="00525C9D">
        <w:rPr>
          <w:rFonts w:eastAsia="Batang"/>
          <w:color w:val="000000"/>
          <w:lang w:eastAsia="en-US"/>
        </w:rPr>
        <w:t>For D2R scheduling, the following information potentially can be explicitly/implicitly indicated to the device via corresponding PRDCH:</w:t>
      </w:r>
    </w:p>
    <w:p w14:paraId="19544F64" w14:textId="77777777" w:rsidR="00525C9D" w:rsidRPr="00525C9D" w:rsidRDefault="00525C9D" w:rsidP="00525C9D">
      <w:pPr>
        <w:numPr>
          <w:ilvl w:val="0"/>
          <w:numId w:val="41"/>
        </w:numPr>
        <w:overflowPunct/>
        <w:autoSpaceDE/>
        <w:autoSpaceDN/>
        <w:adjustRightInd/>
        <w:snapToGrid w:val="0"/>
        <w:spacing w:after="0" w:line="259" w:lineRule="auto"/>
        <w:jc w:val="both"/>
        <w:textAlignment w:val="auto"/>
        <w:rPr>
          <w:rFonts w:eastAsia="SimSun"/>
          <w:color w:val="000000"/>
          <w:kern w:val="2"/>
          <w:lang w:val="en-US" w:eastAsia="ja-JP"/>
        </w:rPr>
      </w:pPr>
      <w:r w:rsidRPr="00525C9D">
        <w:rPr>
          <w:rFonts w:eastAsia="SimSun"/>
          <w:color w:val="000000"/>
          <w:kern w:val="2"/>
          <w:lang w:val="en-US" w:eastAsia="ja-JP"/>
        </w:rPr>
        <w:t>Time domain resources</w:t>
      </w:r>
    </w:p>
    <w:p w14:paraId="527676E2" w14:textId="77777777" w:rsidR="00525C9D" w:rsidRPr="00525C9D" w:rsidRDefault="00525C9D" w:rsidP="00525C9D">
      <w:pPr>
        <w:numPr>
          <w:ilvl w:val="0"/>
          <w:numId w:val="41"/>
        </w:numPr>
        <w:overflowPunct/>
        <w:autoSpaceDE/>
        <w:autoSpaceDN/>
        <w:adjustRightInd/>
        <w:snapToGrid w:val="0"/>
        <w:spacing w:after="0" w:line="259" w:lineRule="auto"/>
        <w:jc w:val="both"/>
        <w:textAlignment w:val="auto"/>
        <w:rPr>
          <w:rFonts w:eastAsia="SimSun"/>
          <w:color w:val="000000"/>
          <w:kern w:val="2"/>
          <w:lang w:val="en-US" w:eastAsia="ja-JP"/>
        </w:rPr>
      </w:pPr>
      <w:r w:rsidRPr="00525C9D">
        <w:rPr>
          <w:rFonts w:eastAsia="SimSun"/>
          <w:color w:val="000000"/>
          <w:kern w:val="2"/>
          <w:lang w:val="en-US" w:eastAsia="ja-JP"/>
        </w:rPr>
        <w:t>Frequency domain resources</w:t>
      </w:r>
    </w:p>
    <w:p w14:paraId="25BBA7DA" w14:textId="77777777" w:rsidR="00525C9D" w:rsidRPr="00525C9D" w:rsidRDefault="00525C9D" w:rsidP="00525C9D">
      <w:pPr>
        <w:numPr>
          <w:ilvl w:val="0"/>
          <w:numId w:val="41"/>
        </w:numPr>
        <w:overflowPunct/>
        <w:autoSpaceDE/>
        <w:autoSpaceDN/>
        <w:adjustRightInd/>
        <w:snapToGrid w:val="0"/>
        <w:spacing w:after="0" w:line="259" w:lineRule="auto"/>
        <w:jc w:val="both"/>
        <w:textAlignment w:val="auto"/>
        <w:rPr>
          <w:rFonts w:eastAsia="SimSun"/>
          <w:color w:val="000000"/>
          <w:kern w:val="2"/>
          <w:lang w:val="en-US" w:eastAsia="ja-JP"/>
        </w:rPr>
      </w:pPr>
      <w:r w:rsidRPr="00525C9D">
        <w:rPr>
          <w:rFonts w:eastAsia="SimSun"/>
          <w:color w:val="000000"/>
          <w:kern w:val="2"/>
          <w:lang w:val="en-US" w:eastAsia="ja-JP"/>
        </w:rPr>
        <w:t>MCS-like information</w:t>
      </w:r>
    </w:p>
    <w:p w14:paraId="2B231151" w14:textId="77777777" w:rsidR="00525C9D" w:rsidRPr="00525C9D" w:rsidRDefault="00525C9D" w:rsidP="00525C9D">
      <w:pPr>
        <w:numPr>
          <w:ilvl w:val="0"/>
          <w:numId w:val="41"/>
        </w:numPr>
        <w:overflowPunct/>
        <w:autoSpaceDE/>
        <w:autoSpaceDN/>
        <w:adjustRightInd/>
        <w:snapToGrid w:val="0"/>
        <w:spacing w:after="0" w:line="259" w:lineRule="auto"/>
        <w:jc w:val="both"/>
        <w:textAlignment w:val="auto"/>
        <w:rPr>
          <w:rFonts w:eastAsia="SimSun"/>
          <w:bCs/>
          <w:color w:val="000000"/>
          <w:kern w:val="2"/>
          <w:lang w:val="en-US" w:eastAsia="ja-JP"/>
        </w:rPr>
      </w:pPr>
      <w:r w:rsidRPr="00525C9D">
        <w:rPr>
          <w:rFonts w:eastAsia="SimSun"/>
          <w:bCs/>
          <w:color w:val="000000"/>
          <w:kern w:val="2"/>
          <w:lang w:val="en-US" w:eastAsia="ja-JP"/>
        </w:rPr>
        <w:t>Chip duration</w:t>
      </w:r>
    </w:p>
    <w:p w14:paraId="7B5C0FF6" w14:textId="77777777" w:rsidR="00525C9D" w:rsidRPr="00525C9D" w:rsidRDefault="00525C9D" w:rsidP="00525C9D">
      <w:pPr>
        <w:numPr>
          <w:ilvl w:val="0"/>
          <w:numId w:val="41"/>
        </w:numPr>
        <w:overflowPunct/>
        <w:autoSpaceDE/>
        <w:autoSpaceDN/>
        <w:adjustRightInd/>
        <w:snapToGrid w:val="0"/>
        <w:spacing w:after="0" w:line="259" w:lineRule="auto"/>
        <w:jc w:val="both"/>
        <w:textAlignment w:val="auto"/>
        <w:rPr>
          <w:rFonts w:eastAsia="SimSun"/>
          <w:color w:val="000000"/>
          <w:kern w:val="2"/>
          <w:lang w:val="en-US" w:eastAsia="ja-JP"/>
        </w:rPr>
      </w:pPr>
      <w:r w:rsidRPr="00525C9D">
        <w:rPr>
          <w:rFonts w:eastAsia="SimSun"/>
          <w:color w:val="000000"/>
          <w:kern w:val="2"/>
          <w:lang w:val="en-US" w:eastAsia="ja-JP"/>
        </w:rPr>
        <w:t>ID associated with device(s)</w:t>
      </w:r>
    </w:p>
    <w:p w14:paraId="15DD51C5" w14:textId="77777777" w:rsidR="00525C9D" w:rsidRPr="00525C9D" w:rsidRDefault="00525C9D" w:rsidP="00525C9D">
      <w:pPr>
        <w:numPr>
          <w:ilvl w:val="0"/>
          <w:numId w:val="41"/>
        </w:numPr>
        <w:overflowPunct/>
        <w:autoSpaceDE/>
        <w:autoSpaceDN/>
        <w:adjustRightInd/>
        <w:snapToGrid w:val="0"/>
        <w:spacing w:after="0" w:line="259" w:lineRule="auto"/>
        <w:jc w:val="both"/>
        <w:textAlignment w:val="auto"/>
        <w:rPr>
          <w:rFonts w:eastAsia="SimSun"/>
          <w:color w:val="000000"/>
          <w:kern w:val="2"/>
          <w:lang w:val="en-US" w:eastAsia="ja-JP"/>
        </w:rPr>
      </w:pPr>
      <w:r w:rsidRPr="00525C9D">
        <w:rPr>
          <w:rFonts w:eastAsia="SimSun"/>
          <w:color w:val="000000"/>
          <w:kern w:val="2"/>
          <w:lang w:val="en-US" w:eastAsia="ja-JP"/>
        </w:rPr>
        <w:t>Repetitions</w:t>
      </w:r>
    </w:p>
    <w:p w14:paraId="6696C0B7" w14:textId="77777777" w:rsidR="00525C9D" w:rsidRPr="00525C9D" w:rsidRDefault="00525C9D" w:rsidP="00525C9D">
      <w:pPr>
        <w:overflowPunct/>
        <w:autoSpaceDE/>
        <w:autoSpaceDN/>
        <w:snapToGrid w:val="0"/>
        <w:spacing w:after="0"/>
        <w:jc w:val="both"/>
        <w:textAlignment w:val="auto"/>
        <w:rPr>
          <w:rFonts w:eastAsia="Batang"/>
          <w:color w:val="000000"/>
          <w:lang w:eastAsia="en-US"/>
        </w:rPr>
      </w:pPr>
      <w:r w:rsidRPr="00525C9D">
        <w:rPr>
          <w:rFonts w:eastAsia="Batang"/>
          <w:color w:val="000000"/>
          <w:lang w:eastAsia="en-US"/>
        </w:rPr>
        <w:t>FFS: other information</w:t>
      </w:r>
    </w:p>
    <w:p w14:paraId="1044C2AD" w14:textId="406C17A1" w:rsidR="00525C9D" w:rsidRDefault="00525C9D" w:rsidP="00525C9D">
      <w:pPr>
        <w:overflowPunct/>
        <w:autoSpaceDE/>
        <w:autoSpaceDN/>
        <w:snapToGrid w:val="0"/>
        <w:spacing w:after="0"/>
        <w:jc w:val="both"/>
        <w:textAlignment w:val="auto"/>
        <w:rPr>
          <w:rFonts w:eastAsia="Batang"/>
          <w:bCs/>
          <w:highlight w:val="green"/>
          <w:lang w:val="en-US" w:eastAsia="en-US"/>
        </w:rPr>
      </w:pPr>
      <w:r w:rsidRPr="00525C9D">
        <w:rPr>
          <w:rFonts w:eastAsia="Batang"/>
          <w:color w:val="000000"/>
          <w:lang w:eastAsia="en-US"/>
        </w:rPr>
        <w:t>FFS: For each information, whether higher-layer signaling and/or L1 R2D control signaling is used</w:t>
      </w:r>
    </w:p>
    <w:p w14:paraId="2C375562" w14:textId="5FA6778A" w:rsidR="008D3A68" w:rsidRPr="008D3A68" w:rsidRDefault="008D3A68" w:rsidP="00525C9D">
      <w:pPr>
        <w:overflowPunct/>
        <w:autoSpaceDE/>
        <w:autoSpaceDN/>
        <w:snapToGrid w:val="0"/>
        <w:spacing w:beforeLines="50" w:before="180" w:after="0"/>
        <w:jc w:val="both"/>
        <w:textAlignment w:val="auto"/>
        <w:rPr>
          <w:rFonts w:eastAsia="Batang"/>
          <w:bCs/>
          <w:lang w:val="en-US" w:eastAsia="en-US"/>
        </w:rPr>
      </w:pPr>
      <w:r w:rsidRPr="008D3A68">
        <w:rPr>
          <w:rFonts w:eastAsia="Batang"/>
          <w:bCs/>
          <w:highlight w:val="green"/>
          <w:lang w:val="en-US" w:eastAsia="en-US"/>
        </w:rPr>
        <w:t>Agreement</w:t>
      </w:r>
    </w:p>
    <w:p w14:paraId="61D36E2F" w14:textId="77777777" w:rsidR="008D3A68" w:rsidRPr="008D3A68" w:rsidRDefault="008D3A68" w:rsidP="008D3A68">
      <w:pPr>
        <w:overflowPunct/>
        <w:autoSpaceDE/>
        <w:autoSpaceDN/>
        <w:snapToGrid w:val="0"/>
        <w:spacing w:after="0"/>
        <w:jc w:val="both"/>
        <w:textAlignment w:val="auto"/>
        <w:rPr>
          <w:rFonts w:eastAsia="Batang"/>
          <w:bCs/>
          <w:lang w:val="en-US" w:eastAsia="en-US"/>
        </w:rPr>
      </w:pPr>
      <w:r w:rsidRPr="008D3A68">
        <w:rPr>
          <w:rFonts w:eastAsia="Batang"/>
          <w:bCs/>
          <w:lang w:val="en-US" w:eastAsia="en-US"/>
        </w:rPr>
        <w:t xml:space="preserve">To determine or derive the end of PRDCH transmission, study at least following options:  </w:t>
      </w:r>
    </w:p>
    <w:p w14:paraId="0736FC43" w14:textId="77777777" w:rsidR="008D3A68" w:rsidRPr="008D3A68" w:rsidRDefault="008D3A68" w:rsidP="008D3A68">
      <w:pPr>
        <w:widowControl w:val="0"/>
        <w:numPr>
          <w:ilvl w:val="0"/>
          <w:numId w:val="29"/>
        </w:numPr>
        <w:overflowPunct/>
        <w:autoSpaceDE/>
        <w:autoSpaceDN/>
        <w:adjustRightInd/>
        <w:snapToGrid w:val="0"/>
        <w:spacing w:after="0" w:line="259" w:lineRule="auto"/>
        <w:jc w:val="both"/>
        <w:textAlignment w:val="auto"/>
        <w:rPr>
          <w:rFonts w:eastAsia="Batang"/>
          <w:lang w:eastAsia="en-US"/>
        </w:rPr>
      </w:pPr>
      <w:r w:rsidRPr="008D3A68">
        <w:rPr>
          <w:rFonts w:eastAsia="Batang" w:hint="eastAsia"/>
          <w:lang w:eastAsia="en-US"/>
        </w:rPr>
        <w:t>O</w:t>
      </w:r>
      <w:r w:rsidRPr="008D3A68">
        <w:rPr>
          <w:rFonts w:eastAsia="Batang"/>
          <w:lang w:eastAsia="en-US"/>
        </w:rPr>
        <w:t xml:space="preserve">ption 1: R2D postamble immediately follows the PRDCH to indicate the end of the PRDCH.       </w:t>
      </w:r>
    </w:p>
    <w:p w14:paraId="63783B21" w14:textId="77777777" w:rsidR="008D3A68" w:rsidRPr="008D3A68" w:rsidRDefault="008D3A68" w:rsidP="008D3A68">
      <w:pPr>
        <w:widowControl w:val="0"/>
        <w:numPr>
          <w:ilvl w:val="0"/>
          <w:numId w:val="29"/>
        </w:numPr>
        <w:overflowPunct/>
        <w:autoSpaceDE/>
        <w:autoSpaceDN/>
        <w:adjustRightInd/>
        <w:snapToGrid w:val="0"/>
        <w:spacing w:after="0" w:line="259" w:lineRule="auto"/>
        <w:jc w:val="both"/>
        <w:textAlignment w:val="auto"/>
        <w:rPr>
          <w:rFonts w:eastAsia="Batang"/>
          <w:lang w:eastAsia="en-US"/>
        </w:rPr>
      </w:pPr>
      <w:r w:rsidRPr="008D3A68">
        <w:rPr>
          <w:rFonts w:eastAsia="Batang" w:hint="eastAsia"/>
          <w:lang w:eastAsia="en-US"/>
        </w:rPr>
        <w:t>O</w:t>
      </w:r>
      <w:r w:rsidRPr="008D3A68">
        <w:rPr>
          <w:rFonts w:eastAsia="Batang"/>
          <w:lang w:eastAsia="en-US"/>
        </w:rPr>
        <w:t>ption 2: Based on R2D control information.</w:t>
      </w:r>
    </w:p>
    <w:p w14:paraId="2F746B09" w14:textId="77777777" w:rsidR="008D3A68" w:rsidRPr="008D3A68" w:rsidRDefault="008D3A68" w:rsidP="00525C9D">
      <w:pPr>
        <w:overflowPunct/>
        <w:autoSpaceDE/>
        <w:autoSpaceDN/>
        <w:snapToGrid w:val="0"/>
        <w:spacing w:beforeLines="50" w:before="180" w:after="0"/>
        <w:jc w:val="both"/>
        <w:textAlignment w:val="auto"/>
        <w:rPr>
          <w:rFonts w:eastAsia="Batang"/>
          <w:bCs/>
          <w:lang w:val="en-US" w:eastAsia="en-US"/>
        </w:rPr>
      </w:pPr>
      <w:r w:rsidRPr="008D3A68">
        <w:rPr>
          <w:rFonts w:eastAsia="Batang"/>
          <w:bCs/>
          <w:highlight w:val="green"/>
          <w:lang w:val="en-US" w:eastAsia="en-US"/>
        </w:rPr>
        <w:t>Agreement</w:t>
      </w:r>
    </w:p>
    <w:p w14:paraId="203AF68A" w14:textId="77777777" w:rsidR="008D3A68" w:rsidRPr="008D3A68" w:rsidRDefault="008D3A68" w:rsidP="008D3A68">
      <w:pPr>
        <w:overflowPunct/>
        <w:autoSpaceDE/>
        <w:autoSpaceDN/>
        <w:snapToGrid w:val="0"/>
        <w:spacing w:after="0"/>
        <w:jc w:val="both"/>
        <w:textAlignment w:val="auto"/>
        <w:rPr>
          <w:rFonts w:eastAsia="Batang"/>
          <w:bCs/>
          <w:lang w:val="en-US" w:eastAsia="en-US"/>
        </w:rPr>
      </w:pPr>
      <w:r w:rsidRPr="008D3A68">
        <w:rPr>
          <w:rFonts w:eastAsia="Batang"/>
          <w:bCs/>
          <w:lang w:val="en-US" w:eastAsia="en-US"/>
        </w:rPr>
        <w:t xml:space="preserve">For the reader to acquire the end of PDRCH transmission, study at least following options:  </w:t>
      </w:r>
    </w:p>
    <w:p w14:paraId="1110BD70" w14:textId="77777777" w:rsidR="008D3A68" w:rsidRPr="008D3A68" w:rsidRDefault="008D3A68" w:rsidP="008D3A68">
      <w:pPr>
        <w:widowControl w:val="0"/>
        <w:numPr>
          <w:ilvl w:val="0"/>
          <w:numId w:val="29"/>
        </w:numPr>
        <w:overflowPunct/>
        <w:autoSpaceDE/>
        <w:autoSpaceDN/>
        <w:adjustRightInd/>
        <w:snapToGrid w:val="0"/>
        <w:spacing w:after="0" w:line="259" w:lineRule="auto"/>
        <w:jc w:val="both"/>
        <w:textAlignment w:val="auto"/>
        <w:rPr>
          <w:rFonts w:eastAsia="Batang"/>
          <w:lang w:eastAsia="en-US"/>
        </w:rPr>
      </w:pPr>
      <w:r w:rsidRPr="008D3A68">
        <w:rPr>
          <w:rFonts w:eastAsia="Batang" w:hint="eastAsia"/>
          <w:lang w:eastAsia="en-US"/>
        </w:rPr>
        <w:t>O</w:t>
      </w:r>
      <w:r w:rsidRPr="008D3A68">
        <w:rPr>
          <w:rFonts w:eastAsia="Batang"/>
          <w:lang w:eastAsia="en-US"/>
        </w:rPr>
        <w:t>ption 1: D2R postamble immediately follows the PDRCH</w:t>
      </w:r>
    </w:p>
    <w:p w14:paraId="4A403918" w14:textId="77777777" w:rsidR="008D3A68" w:rsidRPr="008D3A68" w:rsidRDefault="008D3A68" w:rsidP="008D3A68">
      <w:pPr>
        <w:widowControl w:val="0"/>
        <w:numPr>
          <w:ilvl w:val="0"/>
          <w:numId w:val="29"/>
        </w:numPr>
        <w:overflowPunct/>
        <w:autoSpaceDE/>
        <w:autoSpaceDN/>
        <w:adjustRightInd/>
        <w:snapToGrid w:val="0"/>
        <w:spacing w:after="0" w:line="259" w:lineRule="auto"/>
        <w:jc w:val="both"/>
        <w:textAlignment w:val="auto"/>
        <w:rPr>
          <w:rFonts w:eastAsia="Batang"/>
          <w:lang w:eastAsia="en-US"/>
        </w:rPr>
      </w:pPr>
      <w:r w:rsidRPr="008D3A68">
        <w:rPr>
          <w:rFonts w:eastAsia="Batang" w:hint="eastAsia"/>
          <w:lang w:eastAsia="en-US"/>
        </w:rPr>
        <w:t>O</w:t>
      </w:r>
      <w:r w:rsidRPr="008D3A68">
        <w:rPr>
          <w:rFonts w:eastAsia="Batang"/>
          <w:lang w:eastAsia="en-US"/>
        </w:rPr>
        <w:t>ption 2: Based on control information</w:t>
      </w:r>
    </w:p>
    <w:p w14:paraId="2EF95D13" w14:textId="77777777" w:rsidR="008D3A68" w:rsidRPr="005265F5" w:rsidRDefault="008D3A68" w:rsidP="000D05D3">
      <w:pPr>
        <w:spacing w:after="120"/>
        <w:jc w:val="both"/>
        <w:rPr>
          <w:sz w:val="22"/>
          <w:szCs w:val="22"/>
          <w:lang w:val="en-US"/>
        </w:rPr>
      </w:pPr>
    </w:p>
    <w:p w14:paraId="3D1230DF" w14:textId="4F904AED"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8D3A68" w:rsidRPr="008D3A68">
        <w:rPr>
          <w:sz w:val="22"/>
          <w:szCs w:val="22"/>
        </w:rPr>
        <w:t>postamble</w:t>
      </w:r>
      <w:r w:rsidR="00180559">
        <w:rPr>
          <w:sz w:val="22"/>
          <w:szCs w:val="22"/>
        </w:rPr>
        <w:t xml:space="preserve"> on A-IoT</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12DE9CF" w14:textId="2F297935" w:rsidR="00694476" w:rsidRDefault="00B5514E" w:rsidP="00B5259D">
      <w:pPr>
        <w:widowControl w:val="0"/>
        <w:overflowPunct/>
        <w:autoSpaceDE/>
        <w:autoSpaceDN/>
        <w:spacing w:afterLines="50"/>
        <w:textAlignment w:val="auto"/>
        <w:rPr>
          <w:sz w:val="22"/>
          <w:szCs w:val="22"/>
        </w:rPr>
      </w:pPr>
      <w:r>
        <w:rPr>
          <w:sz w:val="22"/>
          <w:szCs w:val="22"/>
        </w:rPr>
        <w:t>Based on RAN</w:t>
      </w:r>
      <w:r w:rsidR="00BF732D">
        <w:rPr>
          <w:sz w:val="22"/>
          <w:szCs w:val="22"/>
        </w:rPr>
        <w:t>1</w:t>
      </w:r>
      <w:r>
        <w:rPr>
          <w:sz w:val="22"/>
          <w:szCs w:val="22"/>
        </w:rPr>
        <w:t xml:space="preserve"> agreements</w:t>
      </w:r>
      <w:r w:rsidR="0009072F">
        <w:rPr>
          <w:sz w:val="22"/>
          <w:szCs w:val="22"/>
        </w:rPr>
        <w:t xml:space="preserve">, </w:t>
      </w:r>
      <w:r>
        <w:rPr>
          <w:sz w:val="22"/>
          <w:szCs w:val="22"/>
        </w:rPr>
        <w:t xml:space="preserve">D2R transmission is scheduled by corresponding PRDCH, which can provide time and frequency domain resources and MCS-like information. </w:t>
      </w:r>
      <w:r w:rsidR="001D49C0">
        <w:rPr>
          <w:sz w:val="22"/>
          <w:szCs w:val="22"/>
        </w:rPr>
        <w:t xml:space="preserve">A-IoT </w:t>
      </w:r>
      <w:r w:rsidR="00BF732D">
        <w:rPr>
          <w:sz w:val="22"/>
          <w:szCs w:val="22"/>
        </w:rPr>
        <w:t xml:space="preserve">device </w:t>
      </w:r>
      <w:r w:rsidR="001D49C0">
        <w:rPr>
          <w:sz w:val="22"/>
          <w:szCs w:val="22"/>
        </w:rPr>
        <w:t xml:space="preserve">can determine corresponding TB size for </w:t>
      </w:r>
      <w:r w:rsidR="00DC6C68">
        <w:rPr>
          <w:sz w:val="22"/>
          <w:szCs w:val="22"/>
        </w:rPr>
        <w:t>its</w:t>
      </w:r>
      <w:r w:rsidR="001D49C0">
        <w:rPr>
          <w:sz w:val="22"/>
          <w:szCs w:val="22"/>
        </w:rPr>
        <w:t xml:space="preserve"> scheduled D2R transmission. </w:t>
      </w:r>
    </w:p>
    <w:p w14:paraId="79B78423" w14:textId="022622CA" w:rsidR="009624BD" w:rsidRDefault="00694476" w:rsidP="00B5259D">
      <w:pPr>
        <w:widowControl w:val="0"/>
        <w:overflowPunct/>
        <w:autoSpaceDE/>
        <w:autoSpaceDN/>
        <w:spacing w:afterLines="50"/>
        <w:textAlignment w:val="auto"/>
        <w:rPr>
          <w:sz w:val="22"/>
          <w:szCs w:val="22"/>
        </w:rPr>
      </w:pPr>
      <w:r>
        <w:rPr>
          <w:sz w:val="22"/>
          <w:szCs w:val="22"/>
        </w:rPr>
        <w:t>For</w:t>
      </w:r>
      <w:r w:rsidR="0009072F">
        <w:rPr>
          <w:sz w:val="22"/>
          <w:szCs w:val="22"/>
        </w:rPr>
        <w:t xml:space="preserve"> Msg1 with</w:t>
      </w:r>
      <w:r>
        <w:rPr>
          <w:sz w:val="22"/>
          <w:szCs w:val="22"/>
        </w:rPr>
        <w:t xml:space="preserve">out data, the bit size seems expected. Thus, it is possible to </w:t>
      </w:r>
      <w:r w:rsidR="00851196">
        <w:rPr>
          <w:sz w:val="22"/>
          <w:szCs w:val="22"/>
        </w:rPr>
        <w:t xml:space="preserve">provide one of time domain resource and MCS-like information. </w:t>
      </w:r>
      <w:r w:rsidR="0009072F">
        <w:rPr>
          <w:sz w:val="22"/>
          <w:szCs w:val="22"/>
        </w:rPr>
        <w:t>As for Msg3 or command case, since D2R data size may not be predictable, R2D</w:t>
      </w:r>
      <w:r w:rsidR="0009072F" w:rsidRPr="00FE40C9">
        <w:rPr>
          <w:sz w:val="22"/>
          <w:szCs w:val="22"/>
        </w:rPr>
        <w:t xml:space="preserve"> control information</w:t>
      </w:r>
      <w:r w:rsidR="0009072F">
        <w:rPr>
          <w:sz w:val="22"/>
          <w:szCs w:val="22"/>
        </w:rPr>
        <w:t xml:space="preserve"> </w:t>
      </w:r>
      <w:r w:rsidR="00D74537">
        <w:rPr>
          <w:sz w:val="22"/>
          <w:szCs w:val="22"/>
        </w:rPr>
        <w:t>will need to</w:t>
      </w:r>
      <w:r w:rsidR="0009072F">
        <w:rPr>
          <w:sz w:val="22"/>
          <w:szCs w:val="22"/>
        </w:rPr>
        <w:t xml:space="preserve"> indicate</w:t>
      </w:r>
      <w:r w:rsidR="0009072F" w:rsidRPr="007043A0">
        <w:rPr>
          <w:sz w:val="22"/>
          <w:szCs w:val="22"/>
        </w:rPr>
        <w:t xml:space="preserve"> </w:t>
      </w:r>
      <w:r w:rsidR="00D74537">
        <w:rPr>
          <w:sz w:val="22"/>
          <w:szCs w:val="22"/>
        </w:rPr>
        <w:t xml:space="preserve">both </w:t>
      </w:r>
      <w:r w:rsidR="0009072F">
        <w:rPr>
          <w:sz w:val="22"/>
          <w:szCs w:val="22"/>
        </w:rPr>
        <w:t>time length of corresponding D2R occasion</w:t>
      </w:r>
      <w:r w:rsidR="00D74537">
        <w:rPr>
          <w:sz w:val="22"/>
          <w:szCs w:val="22"/>
        </w:rPr>
        <w:t xml:space="preserve"> </w:t>
      </w:r>
      <w:r w:rsidR="00D74537">
        <w:rPr>
          <w:sz w:val="22"/>
          <w:szCs w:val="22"/>
        </w:rPr>
        <w:lastRenderedPageBreak/>
        <w:t>and MCS-like information</w:t>
      </w:r>
      <w:r w:rsidR="0009072F">
        <w:rPr>
          <w:sz w:val="22"/>
          <w:szCs w:val="22"/>
        </w:rPr>
        <w:t xml:space="preserve">. </w:t>
      </w:r>
      <w:r w:rsidR="00D74537">
        <w:rPr>
          <w:sz w:val="22"/>
          <w:szCs w:val="22"/>
        </w:rPr>
        <w:t xml:space="preserve">Then, A-IoT device </w:t>
      </w:r>
      <w:r w:rsidR="00CC60C4">
        <w:rPr>
          <w:sz w:val="22"/>
          <w:szCs w:val="22"/>
        </w:rPr>
        <w:t>can</w:t>
      </w:r>
      <w:r w:rsidR="00D74537">
        <w:rPr>
          <w:sz w:val="22"/>
          <w:szCs w:val="22"/>
        </w:rPr>
        <w:t xml:space="preserve"> derive</w:t>
      </w:r>
      <w:r w:rsidR="0009072F">
        <w:rPr>
          <w:sz w:val="22"/>
          <w:szCs w:val="22"/>
        </w:rPr>
        <w:t xml:space="preserve"> correspond</w:t>
      </w:r>
      <w:r w:rsidR="00D74537">
        <w:rPr>
          <w:sz w:val="22"/>
          <w:szCs w:val="22"/>
        </w:rPr>
        <w:t>ing</w:t>
      </w:r>
      <w:r w:rsidR="0009072F">
        <w:rPr>
          <w:sz w:val="22"/>
          <w:szCs w:val="22"/>
        </w:rPr>
        <w:t xml:space="preserve"> </w:t>
      </w:r>
      <w:r w:rsidR="0009072F">
        <w:rPr>
          <w:rFonts w:hint="eastAsia"/>
          <w:sz w:val="22"/>
          <w:szCs w:val="22"/>
        </w:rPr>
        <w:t>TB s</w:t>
      </w:r>
      <w:r w:rsidR="0009072F">
        <w:rPr>
          <w:sz w:val="22"/>
          <w:szCs w:val="22"/>
        </w:rPr>
        <w:t xml:space="preserve">ize. However, reader cannot explicitly know the buffered data size of A-IoT device, the scheduled TB size could be larger or smaller. </w:t>
      </w:r>
    </w:p>
    <w:p w14:paraId="2D674BF3" w14:textId="4C045FED" w:rsidR="009624BD" w:rsidRDefault="0009072F" w:rsidP="00B5259D">
      <w:pPr>
        <w:widowControl w:val="0"/>
        <w:overflowPunct/>
        <w:autoSpaceDE/>
        <w:autoSpaceDN/>
        <w:spacing w:afterLines="50"/>
        <w:textAlignment w:val="auto"/>
        <w:rPr>
          <w:sz w:val="22"/>
          <w:szCs w:val="22"/>
        </w:rPr>
      </w:pPr>
      <w:r>
        <w:rPr>
          <w:sz w:val="22"/>
          <w:szCs w:val="22"/>
        </w:rPr>
        <w:t xml:space="preserve">In case that the scheduled TB size is smaller than the buffered data size, A-IoT device will need to segment its </w:t>
      </w:r>
      <w:r w:rsidR="00CC60C4">
        <w:rPr>
          <w:sz w:val="22"/>
          <w:szCs w:val="22"/>
        </w:rPr>
        <w:t xml:space="preserve">buffered </w:t>
      </w:r>
      <w:r>
        <w:rPr>
          <w:sz w:val="22"/>
          <w:szCs w:val="22"/>
        </w:rPr>
        <w:t xml:space="preserve">data to accommodate scheduled D2R resource, which means that D2R transmission cannot exceed the scheduled D2R occasion with </w:t>
      </w:r>
      <w:r w:rsidRPr="00ED2CD0">
        <w:rPr>
          <w:sz w:val="22"/>
          <w:szCs w:val="22"/>
        </w:rPr>
        <w:t>timing errors due to residual SFO</w:t>
      </w:r>
      <w:r>
        <w:rPr>
          <w:sz w:val="22"/>
          <w:szCs w:val="22"/>
        </w:rPr>
        <w:t xml:space="preserve">. </w:t>
      </w:r>
      <w:r w:rsidR="009624BD">
        <w:rPr>
          <w:sz w:val="22"/>
          <w:szCs w:val="22"/>
        </w:rPr>
        <w:t xml:space="preserve">For this case, reader can acquire the end of PDRCH transmission based on </w:t>
      </w:r>
      <w:r w:rsidR="009624BD">
        <w:rPr>
          <w:rFonts w:hint="eastAsia"/>
          <w:sz w:val="22"/>
          <w:szCs w:val="22"/>
        </w:rPr>
        <w:t>c</w:t>
      </w:r>
      <w:r w:rsidR="009624BD">
        <w:rPr>
          <w:sz w:val="22"/>
          <w:szCs w:val="22"/>
        </w:rPr>
        <w:t>ontrol information for scheduling the PDRCH.</w:t>
      </w:r>
    </w:p>
    <w:p w14:paraId="0B4EFA9E" w14:textId="70BA9A7B" w:rsidR="007500AE" w:rsidRDefault="0009072F" w:rsidP="00B5259D">
      <w:pPr>
        <w:widowControl w:val="0"/>
        <w:overflowPunct/>
        <w:autoSpaceDE/>
        <w:autoSpaceDN/>
        <w:spacing w:afterLines="50"/>
        <w:textAlignment w:val="auto"/>
        <w:rPr>
          <w:sz w:val="22"/>
          <w:szCs w:val="22"/>
        </w:rPr>
      </w:pPr>
      <w:r>
        <w:rPr>
          <w:sz w:val="22"/>
          <w:szCs w:val="22"/>
        </w:rPr>
        <w:t xml:space="preserve">In case that the scheduled TB size is larger than the buffered data size, it is better for A-IoT device to transmit all its </w:t>
      </w:r>
      <w:r w:rsidR="00CC60C4">
        <w:rPr>
          <w:sz w:val="22"/>
          <w:szCs w:val="22"/>
        </w:rPr>
        <w:t xml:space="preserve">buffered </w:t>
      </w:r>
      <w:r>
        <w:rPr>
          <w:sz w:val="22"/>
          <w:szCs w:val="22"/>
        </w:rPr>
        <w:t xml:space="preserve">data without </w:t>
      </w:r>
      <w:r w:rsidR="00B34486">
        <w:rPr>
          <w:rFonts w:hint="eastAsia"/>
          <w:sz w:val="22"/>
          <w:szCs w:val="22"/>
        </w:rPr>
        <w:t>m</w:t>
      </w:r>
      <w:r w:rsidR="00B34486">
        <w:rPr>
          <w:sz w:val="22"/>
          <w:szCs w:val="22"/>
        </w:rPr>
        <w:t xml:space="preserve">uch </w:t>
      </w:r>
      <w:bookmarkStart w:id="1" w:name="_GoBack"/>
      <w:bookmarkEnd w:id="1"/>
      <w:r>
        <w:rPr>
          <w:sz w:val="22"/>
          <w:szCs w:val="22"/>
        </w:rPr>
        <w:t xml:space="preserve">padding. In other words, the A-IoT device </w:t>
      </w:r>
      <w:r w:rsidR="00CC60C4">
        <w:rPr>
          <w:sz w:val="22"/>
          <w:szCs w:val="22"/>
        </w:rPr>
        <w:t>shall be able to</w:t>
      </w:r>
      <w:r>
        <w:rPr>
          <w:sz w:val="22"/>
          <w:szCs w:val="22"/>
        </w:rPr>
        <w:t xml:space="preserve"> finish its D2R transmission without utilizing all sche</w:t>
      </w:r>
      <w:r>
        <w:rPr>
          <w:rFonts w:hint="eastAsia"/>
          <w:sz w:val="22"/>
          <w:szCs w:val="22"/>
        </w:rPr>
        <w:t>d</w:t>
      </w:r>
      <w:r>
        <w:rPr>
          <w:sz w:val="22"/>
          <w:szCs w:val="22"/>
        </w:rPr>
        <w:t>uled D2R resources; otherwise, it will induce additional power consumption and processing complexity.</w:t>
      </w:r>
      <w:r w:rsidR="000E1C78">
        <w:rPr>
          <w:sz w:val="22"/>
          <w:szCs w:val="22"/>
        </w:rPr>
        <w:t xml:space="preserve"> </w:t>
      </w:r>
      <w:r w:rsidR="00F20DF3">
        <w:rPr>
          <w:sz w:val="22"/>
          <w:szCs w:val="22"/>
        </w:rPr>
        <w:t>For this case, A-IoT device will need to add D2R postamble for reader to acquire the end of PDRCH transmission.</w:t>
      </w:r>
      <w:r w:rsidR="000E1C78">
        <w:rPr>
          <w:sz w:val="22"/>
          <w:szCs w:val="22"/>
        </w:rPr>
        <w:t xml:space="preserve"> </w:t>
      </w:r>
    </w:p>
    <w:p w14:paraId="25CDA774" w14:textId="1780F731" w:rsidR="00E61444" w:rsidRDefault="00E61444" w:rsidP="00E61444">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In case that A-IoT device utilizes all </w:t>
      </w:r>
      <w:r w:rsidR="00A70CF5">
        <w:rPr>
          <w:b/>
          <w:bCs/>
          <w:sz w:val="22"/>
          <w:szCs w:val="22"/>
          <w:lang w:val="en-US"/>
        </w:rPr>
        <w:t xml:space="preserve">of </w:t>
      </w:r>
      <w:r>
        <w:rPr>
          <w:b/>
          <w:bCs/>
          <w:sz w:val="22"/>
          <w:szCs w:val="22"/>
          <w:lang w:val="en-US"/>
        </w:rPr>
        <w:t>scheduled resource of PDRCH transmission, r</w:t>
      </w:r>
      <w:r w:rsidRPr="00E61444">
        <w:rPr>
          <w:b/>
          <w:bCs/>
          <w:sz w:val="22"/>
          <w:szCs w:val="22"/>
          <w:lang w:val="en-US"/>
        </w:rPr>
        <w:t>eader acquire</w:t>
      </w:r>
      <w:r>
        <w:rPr>
          <w:b/>
          <w:bCs/>
          <w:sz w:val="22"/>
          <w:szCs w:val="22"/>
          <w:lang w:val="en-US"/>
        </w:rPr>
        <w:t>s</w:t>
      </w:r>
      <w:r w:rsidRPr="00E61444">
        <w:rPr>
          <w:b/>
          <w:bCs/>
          <w:sz w:val="22"/>
          <w:szCs w:val="22"/>
          <w:lang w:val="en-US"/>
        </w:rPr>
        <w:t xml:space="preserve"> the end of PDRCH transmission based on control information for scheduling the PDRCH</w:t>
      </w:r>
      <w:r>
        <w:rPr>
          <w:b/>
          <w:bCs/>
          <w:sz w:val="22"/>
          <w:szCs w:val="22"/>
          <w:lang w:val="en-US"/>
        </w:rPr>
        <w:t>.</w:t>
      </w:r>
    </w:p>
    <w:p w14:paraId="0B5F2C86" w14:textId="6CEE23F5" w:rsidR="00E61444" w:rsidRDefault="00E61444" w:rsidP="00E61444">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case that A-IoT device utilize</w:t>
      </w:r>
      <w:r w:rsidR="00A70CF5">
        <w:rPr>
          <w:b/>
          <w:bCs/>
          <w:sz w:val="22"/>
          <w:szCs w:val="22"/>
          <w:lang w:val="en-US"/>
        </w:rPr>
        <w:t>s</w:t>
      </w:r>
      <w:r>
        <w:rPr>
          <w:b/>
          <w:bCs/>
          <w:sz w:val="22"/>
          <w:szCs w:val="22"/>
          <w:lang w:val="en-US"/>
        </w:rPr>
        <w:t xml:space="preserve"> </w:t>
      </w:r>
      <w:r w:rsidR="00A70CF5">
        <w:rPr>
          <w:b/>
          <w:bCs/>
          <w:sz w:val="22"/>
          <w:szCs w:val="22"/>
          <w:lang w:val="en-US"/>
        </w:rPr>
        <w:t xml:space="preserve">part of </w:t>
      </w:r>
      <w:r>
        <w:rPr>
          <w:b/>
          <w:bCs/>
          <w:sz w:val="22"/>
          <w:szCs w:val="22"/>
          <w:lang w:val="en-US"/>
        </w:rPr>
        <w:t>scheduled resource of PDRCH transmission, r</w:t>
      </w:r>
      <w:r w:rsidRPr="00E61444">
        <w:rPr>
          <w:b/>
          <w:bCs/>
          <w:sz w:val="22"/>
          <w:szCs w:val="22"/>
          <w:lang w:val="en-US"/>
        </w:rPr>
        <w:t>eader acquire</w:t>
      </w:r>
      <w:r>
        <w:rPr>
          <w:b/>
          <w:bCs/>
          <w:sz w:val="22"/>
          <w:szCs w:val="22"/>
          <w:lang w:val="en-US"/>
        </w:rPr>
        <w:t>s</w:t>
      </w:r>
      <w:r w:rsidRPr="00E61444">
        <w:rPr>
          <w:b/>
          <w:bCs/>
          <w:sz w:val="22"/>
          <w:szCs w:val="22"/>
          <w:lang w:val="en-US"/>
        </w:rPr>
        <w:t xml:space="preserve"> the end of PDRCH transmission based on D2R postamble</w:t>
      </w:r>
      <w:r>
        <w:rPr>
          <w:b/>
          <w:bCs/>
          <w:sz w:val="22"/>
          <w:szCs w:val="22"/>
          <w:lang w:val="en-US"/>
        </w:rPr>
        <w:t>.</w:t>
      </w:r>
    </w:p>
    <w:p w14:paraId="176FF785" w14:textId="77777777" w:rsidR="001F3C00" w:rsidRPr="001F3C00" w:rsidRDefault="001F3C00" w:rsidP="00553BCC">
      <w:pPr>
        <w:spacing w:afterLines="20" w:after="72"/>
        <w:ind w:left="1321" w:rightChars="-141" w:right="-282" w:hangingChars="600" w:hanging="1321"/>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A6C480F"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A70CF5" w:rsidRPr="008D3A68">
        <w:rPr>
          <w:sz w:val="22"/>
          <w:szCs w:val="22"/>
        </w:rPr>
        <w:t>postamble</w:t>
      </w:r>
      <w:r w:rsidR="00A70CF5">
        <w:rPr>
          <w:sz w:val="22"/>
          <w:szCs w:val="22"/>
        </w:rPr>
        <w:t xml:space="preserve"> </w:t>
      </w:r>
      <w:r w:rsidR="00D92B9F">
        <w:rPr>
          <w:sz w:val="22"/>
          <w:szCs w:val="22"/>
        </w:rPr>
        <w:t>on A-IoT</w:t>
      </w:r>
      <w:r w:rsidRPr="004E08BA">
        <w:rPr>
          <w:sz w:val="22"/>
          <w:szCs w:val="22"/>
        </w:rPr>
        <w:t>:</w:t>
      </w:r>
    </w:p>
    <w:p w14:paraId="7DC268E2" w14:textId="77777777" w:rsidR="00A70CF5" w:rsidRDefault="00A70CF5" w:rsidP="00A70CF5">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In case that A-IoT device utilizes all of scheduled resource of PDRCH transmission, r</w:t>
      </w:r>
      <w:r w:rsidRPr="00E61444">
        <w:rPr>
          <w:b/>
          <w:bCs/>
          <w:sz w:val="22"/>
          <w:szCs w:val="22"/>
          <w:lang w:val="en-US"/>
        </w:rPr>
        <w:t>eader acquire</w:t>
      </w:r>
      <w:r>
        <w:rPr>
          <w:b/>
          <w:bCs/>
          <w:sz w:val="22"/>
          <w:szCs w:val="22"/>
          <w:lang w:val="en-US"/>
        </w:rPr>
        <w:t>s</w:t>
      </w:r>
      <w:r w:rsidRPr="00E61444">
        <w:rPr>
          <w:b/>
          <w:bCs/>
          <w:sz w:val="22"/>
          <w:szCs w:val="22"/>
          <w:lang w:val="en-US"/>
        </w:rPr>
        <w:t xml:space="preserve"> the end of PDRCH transmission based on control information for scheduling the PDRCH</w:t>
      </w:r>
      <w:r>
        <w:rPr>
          <w:b/>
          <w:bCs/>
          <w:sz w:val="22"/>
          <w:szCs w:val="22"/>
          <w:lang w:val="en-US"/>
        </w:rPr>
        <w:t>.</w:t>
      </w:r>
    </w:p>
    <w:p w14:paraId="263E9B85" w14:textId="77777777" w:rsidR="00A70CF5" w:rsidRDefault="00A70CF5" w:rsidP="00A70CF5">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case that A-IoT device utilizes part of scheduled resource of PDRCH transmission, r</w:t>
      </w:r>
      <w:r w:rsidRPr="00E61444">
        <w:rPr>
          <w:b/>
          <w:bCs/>
          <w:sz w:val="22"/>
          <w:szCs w:val="22"/>
          <w:lang w:val="en-US"/>
        </w:rPr>
        <w:t>eader acquire</w:t>
      </w:r>
      <w:r>
        <w:rPr>
          <w:b/>
          <w:bCs/>
          <w:sz w:val="22"/>
          <w:szCs w:val="22"/>
          <w:lang w:val="en-US"/>
        </w:rPr>
        <w:t>s</w:t>
      </w:r>
      <w:r w:rsidRPr="00E61444">
        <w:rPr>
          <w:b/>
          <w:bCs/>
          <w:sz w:val="22"/>
          <w:szCs w:val="22"/>
          <w:lang w:val="en-US"/>
        </w:rPr>
        <w:t xml:space="preserve"> the end of PDRCH transmission based on D2R postamble</w:t>
      </w:r>
      <w:r>
        <w:rPr>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3060B77B" w14:textId="092E7F7F" w:rsidR="00C1115C" w:rsidRDefault="00C1115C" w:rsidP="00A70CF5">
      <w:pPr>
        <w:numPr>
          <w:ilvl w:val="0"/>
          <w:numId w:val="1"/>
        </w:numPr>
        <w:spacing w:afterLines="20" w:after="72" w:line="300" w:lineRule="exact"/>
        <w:jc w:val="both"/>
        <w:rPr>
          <w:sz w:val="22"/>
          <w:szCs w:val="22"/>
        </w:rPr>
      </w:pPr>
      <w:r>
        <w:rPr>
          <w:sz w:val="22"/>
          <w:szCs w:val="22"/>
        </w:rPr>
        <w:t>RAN1 #116bis</w:t>
      </w:r>
      <w:r>
        <w:rPr>
          <w:rFonts w:hint="eastAsia"/>
          <w:sz w:val="22"/>
          <w:szCs w:val="22"/>
        </w:rPr>
        <w:t>~119</w:t>
      </w:r>
      <w:r>
        <w:rPr>
          <w:sz w:val="22"/>
          <w:szCs w:val="22"/>
        </w:rPr>
        <w:t xml:space="preserve"> chairman’s note</w:t>
      </w:r>
      <w:r>
        <w:rPr>
          <w:rFonts w:hint="eastAsia"/>
          <w:sz w:val="22"/>
          <w:szCs w:val="22"/>
        </w:rPr>
        <w:t>s</w:t>
      </w:r>
    </w:p>
    <w:p w14:paraId="096BAD93" w14:textId="77777777" w:rsidR="00C1115C" w:rsidRPr="009B1E01" w:rsidRDefault="00C1115C" w:rsidP="00C1115C">
      <w:pPr>
        <w:numPr>
          <w:ilvl w:val="0"/>
          <w:numId w:val="1"/>
        </w:numPr>
        <w:spacing w:afterLines="20" w:after="72" w:line="300" w:lineRule="exact"/>
        <w:jc w:val="both"/>
        <w:rPr>
          <w:sz w:val="22"/>
          <w:szCs w:val="22"/>
        </w:rPr>
      </w:pPr>
      <w:r w:rsidRPr="00804452">
        <w:rPr>
          <w:sz w:val="22"/>
          <w:szCs w:val="22"/>
        </w:rPr>
        <w:t>TR 38.769 v2.0.1</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C15C2" w14:textId="77777777" w:rsidR="009141C9" w:rsidRDefault="009141C9" w:rsidP="000D05D3">
      <w:pPr>
        <w:spacing w:after="0"/>
      </w:pPr>
      <w:r>
        <w:separator/>
      </w:r>
    </w:p>
  </w:endnote>
  <w:endnote w:type="continuationSeparator" w:id="0">
    <w:p w14:paraId="4F9AEB99" w14:textId="77777777" w:rsidR="009141C9" w:rsidRDefault="009141C9"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17AB0" w14:textId="77777777" w:rsidR="009141C9" w:rsidRDefault="009141C9" w:rsidP="000D05D3">
      <w:pPr>
        <w:spacing w:after="0"/>
      </w:pPr>
      <w:r>
        <w:separator/>
      </w:r>
    </w:p>
  </w:footnote>
  <w:footnote w:type="continuationSeparator" w:id="0">
    <w:p w14:paraId="05E22C7D" w14:textId="77777777" w:rsidR="009141C9" w:rsidRDefault="009141C9"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cs="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3"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71825D41"/>
    <w:multiLevelType w:val="multilevel"/>
    <w:tmpl w:val="71825D41"/>
    <w:lvl w:ilvl="0">
      <w:numFmt w:val="bullet"/>
      <w:lvlText w:val="•"/>
      <w:lvlJc w:val="left"/>
      <w:pPr>
        <w:ind w:left="360" w:hanging="36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11"/>
  </w:num>
  <w:num w:numId="3">
    <w:abstractNumId w:val="23"/>
  </w:num>
  <w:num w:numId="4">
    <w:abstractNumId w:val="6"/>
  </w:num>
  <w:num w:numId="5">
    <w:abstractNumId w:val="24"/>
  </w:num>
  <w:num w:numId="6">
    <w:abstractNumId w:val="39"/>
  </w:num>
  <w:num w:numId="7">
    <w:abstractNumId w:val="25"/>
  </w:num>
  <w:num w:numId="8">
    <w:abstractNumId w:val="35"/>
  </w:num>
  <w:num w:numId="9">
    <w:abstractNumId w:val="18"/>
  </w:num>
  <w:num w:numId="10">
    <w:abstractNumId w:val="3"/>
  </w:num>
  <w:num w:numId="11">
    <w:abstractNumId w:val="0"/>
  </w:num>
  <w:num w:numId="12">
    <w:abstractNumId w:val="33"/>
  </w:num>
  <w:num w:numId="13">
    <w:abstractNumId w:val="28"/>
  </w:num>
  <w:num w:numId="14">
    <w:abstractNumId w:val="20"/>
  </w:num>
  <w:num w:numId="15">
    <w:abstractNumId w:val="22"/>
  </w:num>
  <w:num w:numId="16">
    <w:abstractNumId w:val="17"/>
  </w:num>
  <w:num w:numId="17">
    <w:abstractNumId w:val="16"/>
  </w:num>
  <w:num w:numId="18">
    <w:abstractNumId w:val="14"/>
  </w:num>
  <w:num w:numId="19">
    <w:abstractNumId w:val="10"/>
  </w:num>
  <w:num w:numId="20">
    <w:abstractNumId w:val="27"/>
  </w:num>
  <w:num w:numId="21">
    <w:abstractNumId w:val="5"/>
  </w:num>
  <w:num w:numId="22">
    <w:abstractNumId w:val="19"/>
  </w:num>
  <w:num w:numId="23">
    <w:abstractNumId w:val="19"/>
  </w:num>
  <w:num w:numId="24">
    <w:abstractNumId w:val="29"/>
  </w:num>
  <w:num w:numId="25">
    <w:abstractNumId w:val="32"/>
  </w:num>
  <w:num w:numId="26">
    <w:abstractNumId w:val="8"/>
  </w:num>
  <w:num w:numId="27">
    <w:abstractNumId w:val="38"/>
  </w:num>
  <w:num w:numId="28">
    <w:abstractNumId w:val="26"/>
  </w:num>
  <w:num w:numId="29">
    <w:abstractNumId w:val="9"/>
  </w:num>
  <w:num w:numId="30">
    <w:abstractNumId w:val="34"/>
  </w:num>
  <w:num w:numId="31">
    <w:abstractNumId w:val="4"/>
  </w:num>
  <w:num w:numId="32">
    <w:abstractNumId w:val="15"/>
  </w:num>
  <w:num w:numId="33">
    <w:abstractNumId w:val="7"/>
  </w:num>
  <w:num w:numId="34">
    <w:abstractNumId w:val="13"/>
  </w:num>
  <w:num w:numId="35">
    <w:abstractNumId w:val="12"/>
  </w:num>
  <w:num w:numId="36">
    <w:abstractNumId w:val="30"/>
  </w:num>
  <w:num w:numId="37">
    <w:abstractNumId w:val="2"/>
  </w:num>
  <w:num w:numId="38">
    <w:abstractNumId w:val="21"/>
  </w:num>
  <w:num w:numId="39">
    <w:abstractNumId w:val="1"/>
  </w:num>
  <w:num w:numId="40">
    <w:abstractNumId w:val="36"/>
  </w:num>
  <w:num w:numId="41">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6F39"/>
    <w:rsid w:val="00007DC5"/>
    <w:rsid w:val="00011F0E"/>
    <w:rsid w:val="00014288"/>
    <w:rsid w:val="000154ED"/>
    <w:rsid w:val="00022742"/>
    <w:rsid w:val="000247A1"/>
    <w:rsid w:val="0002480A"/>
    <w:rsid w:val="000312C5"/>
    <w:rsid w:val="0003776E"/>
    <w:rsid w:val="000400A6"/>
    <w:rsid w:val="0004268A"/>
    <w:rsid w:val="000431E6"/>
    <w:rsid w:val="00043B1C"/>
    <w:rsid w:val="000467F4"/>
    <w:rsid w:val="00046EC4"/>
    <w:rsid w:val="00051306"/>
    <w:rsid w:val="00060179"/>
    <w:rsid w:val="0007015D"/>
    <w:rsid w:val="0007543D"/>
    <w:rsid w:val="000772CB"/>
    <w:rsid w:val="00077BFF"/>
    <w:rsid w:val="00085754"/>
    <w:rsid w:val="00086907"/>
    <w:rsid w:val="00086B51"/>
    <w:rsid w:val="00087A64"/>
    <w:rsid w:val="000900C8"/>
    <w:rsid w:val="0009072F"/>
    <w:rsid w:val="000A3EDA"/>
    <w:rsid w:val="000A565C"/>
    <w:rsid w:val="000B1E7C"/>
    <w:rsid w:val="000C4AAE"/>
    <w:rsid w:val="000C54CA"/>
    <w:rsid w:val="000C5CA9"/>
    <w:rsid w:val="000D05D3"/>
    <w:rsid w:val="000D570D"/>
    <w:rsid w:val="000D747D"/>
    <w:rsid w:val="000E1294"/>
    <w:rsid w:val="000E1C78"/>
    <w:rsid w:val="000E5A74"/>
    <w:rsid w:val="000E6226"/>
    <w:rsid w:val="000E6911"/>
    <w:rsid w:val="000E7D18"/>
    <w:rsid w:val="000F303F"/>
    <w:rsid w:val="000F5204"/>
    <w:rsid w:val="000F7AB7"/>
    <w:rsid w:val="00105F53"/>
    <w:rsid w:val="00107EB4"/>
    <w:rsid w:val="001153FF"/>
    <w:rsid w:val="0012244E"/>
    <w:rsid w:val="00124909"/>
    <w:rsid w:val="00124DA2"/>
    <w:rsid w:val="00134A13"/>
    <w:rsid w:val="001361D9"/>
    <w:rsid w:val="001439FD"/>
    <w:rsid w:val="00143DE7"/>
    <w:rsid w:val="001467F1"/>
    <w:rsid w:val="00146EDD"/>
    <w:rsid w:val="001520DA"/>
    <w:rsid w:val="00154873"/>
    <w:rsid w:val="00154A36"/>
    <w:rsid w:val="00155D0C"/>
    <w:rsid w:val="001562C5"/>
    <w:rsid w:val="0016055B"/>
    <w:rsid w:val="0016157C"/>
    <w:rsid w:val="0016271E"/>
    <w:rsid w:val="001627DB"/>
    <w:rsid w:val="00164897"/>
    <w:rsid w:val="00170FB0"/>
    <w:rsid w:val="001747FF"/>
    <w:rsid w:val="00180559"/>
    <w:rsid w:val="00180F8F"/>
    <w:rsid w:val="001847C8"/>
    <w:rsid w:val="00190C63"/>
    <w:rsid w:val="00192472"/>
    <w:rsid w:val="0019536A"/>
    <w:rsid w:val="00197037"/>
    <w:rsid w:val="00197D69"/>
    <w:rsid w:val="001A1591"/>
    <w:rsid w:val="001B018E"/>
    <w:rsid w:val="001B1E8E"/>
    <w:rsid w:val="001B261F"/>
    <w:rsid w:val="001B3140"/>
    <w:rsid w:val="001B7BEF"/>
    <w:rsid w:val="001C2C0B"/>
    <w:rsid w:val="001C4748"/>
    <w:rsid w:val="001C79AF"/>
    <w:rsid w:val="001C7E68"/>
    <w:rsid w:val="001D28DF"/>
    <w:rsid w:val="001D49C0"/>
    <w:rsid w:val="001E3A56"/>
    <w:rsid w:val="001E4972"/>
    <w:rsid w:val="001E57D2"/>
    <w:rsid w:val="001F2B71"/>
    <w:rsid w:val="001F3C00"/>
    <w:rsid w:val="00210385"/>
    <w:rsid w:val="00212982"/>
    <w:rsid w:val="00221B24"/>
    <w:rsid w:val="0022262A"/>
    <w:rsid w:val="00224E48"/>
    <w:rsid w:val="002259BD"/>
    <w:rsid w:val="00231ACE"/>
    <w:rsid w:val="00234EE3"/>
    <w:rsid w:val="00242D52"/>
    <w:rsid w:val="00243945"/>
    <w:rsid w:val="00247BCD"/>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26D4"/>
    <w:rsid w:val="0029528E"/>
    <w:rsid w:val="002971D0"/>
    <w:rsid w:val="002B25EB"/>
    <w:rsid w:val="002C3DB7"/>
    <w:rsid w:val="002D09A8"/>
    <w:rsid w:val="002D7666"/>
    <w:rsid w:val="002E2E8A"/>
    <w:rsid w:val="002E4267"/>
    <w:rsid w:val="002E61A9"/>
    <w:rsid w:val="002F07FB"/>
    <w:rsid w:val="002F73C9"/>
    <w:rsid w:val="00302987"/>
    <w:rsid w:val="00302BB7"/>
    <w:rsid w:val="00306608"/>
    <w:rsid w:val="00313C60"/>
    <w:rsid w:val="00317F2D"/>
    <w:rsid w:val="003231B8"/>
    <w:rsid w:val="003319FF"/>
    <w:rsid w:val="00333A54"/>
    <w:rsid w:val="00346FDF"/>
    <w:rsid w:val="00350558"/>
    <w:rsid w:val="00351531"/>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95"/>
    <w:rsid w:val="003B2C3B"/>
    <w:rsid w:val="003B69D8"/>
    <w:rsid w:val="003C6FD8"/>
    <w:rsid w:val="003D1484"/>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F06"/>
    <w:rsid w:val="00417FC5"/>
    <w:rsid w:val="0042005B"/>
    <w:rsid w:val="00420E9A"/>
    <w:rsid w:val="00425115"/>
    <w:rsid w:val="004268C8"/>
    <w:rsid w:val="00427C7D"/>
    <w:rsid w:val="0043036B"/>
    <w:rsid w:val="004315DA"/>
    <w:rsid w:val="004338E9"/>
    <w:rsid w:val="004374B3"/>
    <w:rsid w:val="00440700"/>
    <w:rsid w:val="00441BF4"/>
    <w:rsid w:val="00443EDC"/>
    <w:rsid w:val="004532C4"/>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6002"/>
    <w:rsid w:val="004B3340"/>
    <w:rsid w:val="004B39D4"/>
    <w:rsid w:val="004C3C4B"/>
    <w:rsid w:val="004C5255"/>
    <w:rsid w:val="004C63E8"/>
    <w:rsid w:val="004D295B"/>
    <w:rsid w:val="004D5D46"/>
    <w:rsid w:val="004E08BA"/>
    <w:rsid w:val="004E31C5"/>
    <w:rsid w:val="004E4293"/>
    <w:rsid w:val="004F0D05"/>
    <w:rsid w:val="004F3996"/>
    <w:rsid w:val="004F7934"/>
    <w:rsid w:val="005002B6"/>
    <w:rsid w:val="00503838"/>
    <w:rsid w:val="00505F23"/>
    <w:rsid w:val="00517631"/>
    <w:rsid w:val="00520A85"/>
    <w:rsid w:val="00521870"/>
    <w:rsid w:val="0052297E"/>
    <w:rsid w:val="00525C9D"/>
    <w:rsid w:val="005265F5"/>
    <w:rsid w:val="0053588E"/>
    <w:rsid w:val="00535D9F"/>
    <w:rsid w:val="005377F3"/>
    <w:rsid w:val="00537BD3"/>
    <w:rsid w:val="00540F9A"/>
    <w:rsid w:val="00541A67"/>
    <w:rsid w:val="005437E4"/>
    <w:rsid w:val="00547D85"/>
    <w:rsid w:val="00552699"/>
    <w:rsid w:val="00553188"/>
    <w:rsid w:val="0055350B"/>
    <w:rsid w:val="00553BCC"/>
    <w:rsid w:val="0055459F"/>
    <w:rsid w:val="00555BA8"/>
    <w:rsid w:val="00560D36"/>
    <w:rsid w:val="00562F27"/>
    <w:rsid w:val="005668FE"/>
    <w:rsid w:val="00566A75"/>
    <w:rsid w:val="00572331"/>
    <w:rsid w:val="0057463B"/>
    <w:rsid w:val="00575248"/>
    <w:rsid w:val="005753B7"/>
    <w:rsid w:val="00586148"/>
    <w:rsid w:val="005876E3"/>
    <w:rsid w:val="005926A9"/>
    <w:rsid w:val="00596CC4"/>
    <w:rsid w:val="005A1C96"/>
    <w:rsid w:val="005C0FAF"/>
    <w:rsid w:val="005C2577"/>
    <w:rsid w:val="005D378D"/>
    <w:rsid w:val="005E0400"/>
    <w:rsid w:val="005E49C7"/>
    <w:rsid w:val="005E70AE"/>
    <w:rsid w:val="005F0530"/>
    <w:rsid w:val="005F0EC5"/>
    <w:rsid w:val="005F54CA"/>
    <w:rsid w:val="005F79DB"/>
    <w:rsid w:val="005F7E57"/>
    <w:rsid w:val="00600226"/>
    <w:rsid w:val="00600418"/>
    <w:rsid w:val="00610B4E"/>
    <w:rsid w:val="00612262"/>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87332"/>
    <w:rsid w:val="0069149E"/>
    <w:rsid w:val="00694476"/>
    <w:rsid w:val="0069786B"/>
    <w:rsid w:val="006A010A"/>
    <w:rsid w:val="006A020F"/>
    <w:rsid w:val="006A05CF"/>
    <w:rsid w:val="006A07FA"/>
    <w:rsid w:val="006A09A5"/>
    <w:rsid w:val="006A2521"/>
    <w:rsid w:val="006A610C"/>
    <w:rsid w:val="006A78F4"/>
    <w:rsid w:val="006A7B9C"/>
    <w:rsid w:val="006B223D"/>
    <w:rsid w:val="006B25EF"/>
    <w:rsid w:val="006B3696"/>
    <w:rsid w:val="006B4450"/>
    <w:rsid w:val="006B53FF"/>
    <w:rsid w:val="006B5450"/>
    <w:rsid w:val="006C1BEB"/>
    <w:rsid w:val="006C282A"/>
    <w:rsid w:val="006C57A6"/>
    <w:rsid w:val="006C73DB"/>
    <w:rsid w:val="006D4D5D"/>
    <w:rsid w:val="006E3CD0"/>
    <w:rsid w:val="006E53D4"/>
    <w:rsid w:val="006E585C"/>
    <w:rsid w:val="006E664E"/>
    <w:rsid w:val="006E6DBF"/>
    <w:rsid w:val="006F2C15"/>
    <w:rsid w:val="006F325A"/>
    <w:rsid w:val="006F3333"/>
    <w:rsid w:val="006F4488"/>
    <w:rsid w:val="006F5C56"/>
    <w:rsid w:val="00700293"/>
    <w:rsid w:val="007002ED"/>
    <w:rsid w:val="00700F12"/>
    <w:rsid w:val="00704136"/>
    <w:rsid w:val="00712FB8"/>
    <w:rsid w:val="00715B57"/>
    <w:rsid w:val="00716057"/>
    <w:rsid w:val="007161FB"/>
    <w:rsid w:val="007229B9"/>
    <w:rsid w:val="007233FA"/>
    <w:rsid w:val="00724ADC"/>
    <w:rsid w:val="00726813"/>
    <w:rsid w:val="007277E5"/>
    <w:rsid w:val="007302CC"/>
    <w:rsid w:val="007306FA"/>
    <w:rsid w:val="00731CAC"/>
    <w:rsid w:val="00733CD2"/>
    <w:rsid w:val="0073629E"/>
    <w:rsid w:val="00737668"/>
    <w:rsid w:val="007406C1"/>
    <w:rsid w:val="00740FA0"/>
    <w:rsid w:val="007452ED"/>
    <w:rsid w:val="007500AE"/>
    <w:rsid w:val="00751997"/>
    <w:rsid w:val="00751C75"/>
    <w:rsid w:val="007536CD"/>
    <w:rsid w:val="00760434"/>
    <w:rsid w:val="00764A37"/>
    <w:rsid w:val="007651B4"/>
    <w:rsid w:val="00766D07"/>
    <w:rsid w:val="00787EF1"/>
    <w:rsid w:val="0079238D"/>
    <w:rsid w:val="00794C05"/>
    <w:rsid w:val="007A33BC"/>
    <w:rsid w:val="007A5B86"/>
    <w:rsid w:val="007A6A68"/>
    <w:rsid w:val="007A6ED2"/>
    <w:rsid w:val="007B028F"/>
    <w:rsid w:val="007B4DCB"/>
    <w:rsid w:val="007C675D"/>
    <w:rsid w:val="007E61BB"/>
    <w:rsid w:val="007E6BE4"/>
    <w:rsid w:val="00800506"/>
    <w:rsid w:val="00803BE9"/>
    <w:rsid w:val="00810D42"/>
    <w:rsid w:val="00812866"/>
    <w:rsid w:val="00814AEF"/>
    <w:rsid w:val="00826422"/>
    <w:rsid w:val="00826DB4"/>
    <w:rsid w:val="008303C3"/>
    <w:rsid w:val="008351F1"/>
    <w:rsid w:val="00835539"/>
    <w:rsid w:val="008371D9"/>
    <w:rsid w:val="008448F8"/>
    <w:rsid w:val="00847BDF"/>
    <w:rsid w:val="00851196"/>
    <w:rsid w:val="00866C8C"/>
    <w:rsid w:val="0088471D"/>
    <w:rsid w:val="00897923"/>
    <w:rsid w:val="008A4E8B"/>
    <w:rsid w:val="008B4F6F"/>
    <w:rsid w:val="008B5783"/>
    <w:rsid w:val="008C3126"/>
    <w:rsid w:val="008C62BB"/>
    <w:rsid w:val="008C6F73"/>
    <w:rsid w:val="008C6FC7"/>
    <w:rsid w:val="008D3A68"/>
    <w:rsid w:val="008D6004"/>
    <w:rsid w:val="008E236D"/>
    <w:rsid w:val="008E4065"/>
    <w:rsid w:val="008E4A0C"/>
    <w:rsid w:val="008E7575"/>
    <w:rsid w:val="008F405F"/>
    <w:rsid w:val="008F6AE5"/>
    <w:rsid w:val="008F6B74"/>
    <w:rsid w:val="00901AB1"/>
    <w:rsid w:val="00911962"/>
    <w:rsid w:val="009141C9"/>
    <w:rsid w:val="00915B71"/>
    <w:rsid w:val="00920ECC"/>
    <w:rsid w:val="00922919"/>
    <w:rsid w:val="00922990"/>
    <w:rsid w:val="00925F41"/>
    <w:rsid w:val="00930831"/>
    <w:rsid w:val="00930C33"/>
    <w:rsid w:val="00931741"/>
    <w:rsid w:val="0093273A"/>
    <w:rsid w:val="0093503A"/>
    <w:rsid w:val="00943E4E"/>
    <w:rsid w:val="0094424C"/>
    <w:rsid w:val="00950C49"/>
    <w:rsid w:val="0095362F"/>
    <w:rsid w:val="00960D67"/>
    <w:rsid w:val="009624BD"/>
    <w:rsid w:val="0097193E"/>
    <w:rsid w:val="0097234E"/>
    <w:rsid w:val="009806D7"/>
    <w:rsid w:val="00981434"/>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6504"/>
    <w:rsid w:val="009F7495"/>
    <w:rsid w:val="00A002B6"/>
    <w:rsid w:val="00A01A69"/>
    <w:rsid w:val="00A02C42"/>
    <w:rsid w:val="00A064E1"/>
    <w:rsid w:val="00A250B8"/>
    <w:rsid w:val="00A3177E"/>
    <w:rsid w:val="00A34D57"/>
    <w:rsid w:val="00A34F56"/>
    <w:rsid w:val="00A379CB"/>
    <w:rsid w:val="00A412F7"/>
    <w:rsid w:val="00A41DE9"/>
    <w:rsid w:val="00A43DB0"/>
    <w:rsid w:val="00A51577"/>
    <w:rsid w:val="00A52165"/>
    <w:rsid w:val="00A52DF2"/>
    <w:rsid w:val="00A5682D"/>
    <w:rsid w:val="00A63A6F"/>
    <w:rsid w:val="00A64BCB"/>
    <w:rsid w:val="00A70CF5"/>
    <w:rsid w:val="00A73E1D"/>
    <w:rsid w:val="00A7456C"/>
    <w:rsid w:val="00A75E6E"/>
    <w:rsid w:val="00A75FED"/>
    <w:rsid w:val="00A76161"/>
    <w:rsid w:val="00A772AC"/>
    <w:rsid w:val="00A81C02"/>
    <w:rsid w:val="00A83EE4"/>
    <w:rsid w:val="00A84F83"/>
    <w:rsid w:val="00A86124"/>
    <w:rsid w:val="00A87AD9"/>
    <w:rsid w:val="00A9295C"/>
    <w:rsid w:val="00A938F4"/>
    <w:rsid w:val="00A97EEF"/>
    <w:rsid w:val="00AA33CF"/>
    <w:rsid w:val="00AA669D"/>
    <w:rsid w:val="00AA6995"/>
    <w:rsid w:val="00AA7579"/>
    <w:rsid w:val="00AB09B1"/>
    <w:rsid w:val="00AC1079"/>
    <w:rsid w:val="00AC3562"/>
    <w:rsid w:val="00AC58AA"/>
    <w:rsid w:val="00AC5A6F"/>
    <w:rsid w:val="00AD6B78"/>
    <w:rsid w:val="00AD7173"/>
    <w:rsid w:val="00AE52D6"/>
    <w:rsid w:val="00AE6DAB"/>
    <w:rsid w:val="00AF1965"/>
    <w:rsid w:val="00AF4DFC"/>
    <w:rsid w:val="00AF5A44"/>
    <w:rsid w:val="00B016D8"/>
    <w:rsid w:val="00B0530B"/>
    <w:rsid w:val="00B075D1"/>
    <w:rsid w:val="00B10C71"/>
    <w:rsid w:val="00B10D12"/>
    <w:rsid w:val="00B11C7F"/>
    <w:rsid w:val="00B13FFF"/>
    <w:rsid w:val="00B14022"/>
    <w:rsid w:val="00B156A8"/>
    <w:rsid w:val="00B2230D"/>
    <w:rsid w:val="00B26354"/>
    <w:rsid w:val="00B30D32"/>
    <w:rsid w:val="00B34486"/>
    <w:rsid w:val="00B361AA"/>
    <w:rsid w:val="00B42657"/>
    <w:rsid w:val="00B4675A"/>
    <w:rsid w:val="00B5259D"/>
    <w:rsid w:val="00B531B0"/>
    <w:rsid w:val="00B5514E"/>
    <w:rsid w:val="00B60480"/>
    <w:rsid w:val="00B610C7"/>
    <w:rsid w:val="00B64929"/>
    <w:rsid w:val="00B70092"/>
    <w:rsid w:val="00B70AA5"/>
    <w:rsid w:val="00B74974"/>
    <w:rsid w:val="00B762B0"/>
    <w:rsid w:val="00B8370B"/>
    <w:rsid w:val="00B84610"/>
    <w:rsid w:val="00B86DBB"/>
    <w:rsid w:val="00B904A1"/>
    <w:rsid w:val="00B9053C"/>
    <w:rsid w:val="00BA0E5F"/>
    <w:rsid w:val="00BA1609"/>
    <w:rsid w:val="00BA1FF6"/>
    <w:rsid w:val="00BA4240"/>
    <w:rsid w:val="00BA56EE"/>
    <w:rsid w:val="00BA762B"/>
    <w:rsid w:val="00BB06FD"/>
    <w:rsid w:val="00BB4730"/>
    <w:rsid w:val="00BC030C"/>
    <w:rsid w:val="00BC2B5E"/>
    <w:rsid w:val="00BC2D7C"/>
    <w:rsid w:val="00BC46C3"/>
    <w:rsid w:val="00BD6C3A"/>
    <w:rsid w:val="00BD70D9"/>
    <w:rsid w:val="00BD7DA5"/>
    <w:rsid w:val="00BE0C8C"/>
    <w:rsid w:val="00BE2044"/>
    <w:rsid w:val="00BE21E8"/>
    <w:rsid w:val="00BE3C75"/>
    <w:rsid w:val="00BE4574"/>
    <w:rsid w:val="00BE5B15"/>
    <w:rsid w:val="00BE7139"/>
    <w:rsid w:val="00BF732D"/>
    <w:rsid w:val="00C00FD4"/>
    <w:rsid w:val="00C02E7D"/>
    <w:rsid w:val="00C10729"/>
    <w:rsid w:val="00C1115C"/>
    <w:rsid w:val="00C113BD"/>
    <w:rsid w:val="00C11FEF"/>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76F98"/>
    <w:rsid w:val="00C8593D"/>
    <w:rsid w:val="00C859C0"/>
    <w:rsid w:val="00C85C2E"/>
    <w:rsid w:val="00C87D80"/>
    <w:rsid w:val="00C9569D"/>
    <w:rsid w:val="00C95A21"/>
    <w:rsid w:val="00C95CC6"/>
    <w:rsid w:val="00C96773"/>
    <w:rsid w:val="00CA2175"/>
    <w:rsid w:val="00CA247A"/>
    <w:rsid w:val="00CA393C"/>
    <w:rsid w:val="00CC002C"/>
    <w:rsid w:val="00CC16B7"/>
    <w:rsid w:val="00CC1A14"/>
    <w:rsid w:val="00CC5BB1"/>
    <w:rsid w:val="00CC60C4"/>
    <w:rsid w:val="00CC63D8"/>
    <w:rsid w:val="00CC6E3C"/>
    <w:rsid w:val="00CD09BE"/>
    <w:rsid w:val="00CD66F5"/>
    <w:rsid w:val="00CE30F0"/>
    <w:rsid w:val="00CE4762"/>
    <w:rsid w:val="00CE6689"/>
    <w:rsid w:val="00CE75AE"/>
    <w:rsid w:val="00CF1645"/>
    <w:rsid w:val="00CF2979"/>
    <w:rsid w:val="00CF3104"/>
    <w:rsid w:val="00CF3116"/>
    <w:rsid w:val="00CF6C9C"/>
    <w:rsid w:val="00D000BF"/>
    <w:rsid w:val="00D004F0"/>
    <w:rsid w:val="00D01811"/>
    <w:rsid w:val="00D03F3A"/>
    <w:rsid w:val="00D04910"/>
    <w:rsid w:val="00D102B8"/>
    <w:rsid w:val="00D1791E"/>
    <w:rsid w:val="00D3154F"/>
    <w:rsid w:val="00D37E70"/>
    <w:rsid w:val="00D414E4"/>
    <w:rsid w:val="00D43CD7"/>
    <w:rsid w:val="00D47D8E"/>
    <w:rsid w:val="00D55755"/>
    <w:rsid w:val="00D56B53"/>
    <w:rsid w:val="00D62F60"/>
    <w:rsid w:val="00D640A7"/>
    <w:rsid w:val="00D74537"/>
    <w:rsid w:val="00D74598"/>
    <w:rsid w:val="00D75F5E"/>
    <w:rsid w:val="00D82EBD"/>
    <w:rsid w:val="00D86733"/>
    <w:rsid w:val="00D92A7F"/>
    <w:rsid w:val="00D92B9F"/>
    <w:rsid w:val="00D93A56"/>
    <w:rsid w:val="00D96367"/>
    <w:rsid w:val="00DA000B"/>
    <w:rsid w:val="00DA6A2C"/>
    <w:rsid w:val="00DA73C6"/>
    <w:rsid w:val="00DB0D72"/>
    <w:rsid w:val="00DB2805"/>
    <w:rsid w:val="00DB31C1"/>
    <w:rsid w:val="00DC073C"/>
    <w:rsid w:val="00DC31C0"/>
    <w:rsid w:val="00DC3A7A"/>
    <w:rsid w:val="00DC5DD6"/>
    <w:rsid w:val="00DC6AC8"/>
    <w:rsid w:val="00DC6C68"/>
    <w:rsid w:val="00DD0D9A"/>
    <w:rsid w:val="00DD1AF7"/>
    <w:rsid w:val="00DD36DD"/>
    <w:rsid w:val="00DD487B"/>
    <w:rsid w:val="00DD6E69"/>
    <w:rsid w:val="00DE0B54"/>
    <w:rsid w:val="00DE2197"/>
    <w:rsid w:val="00DE35EE"/>
    <w:rsid w:val="00DE50AA"/>
    <w:rsid w:val="00DE566B"/>
    <w:rsid w:val="00DE57C6"/>
    <w:rsid w:val="00DE6838"/>
    <w:rsid w:val="00DE6A78"/>
    <w:rsid w:val="00DE7B16"/>
    <w:rsid w:val="00DF13BE"/>
    <w:rsid w:val="00DF2572"/>
    <w:rsid w:val="00E06ABF"/>
    <w:rsid w:val="00E1187C"/>
    <w:rsid w:val="00E14781"/>
    <w:rsid w:val="00E158C8"/>
    <w:rsid w:val="00E1785E"/>
    <w:rsid w:val="00E22B23"/>
    <w:rsid w:val="00E25912"/>
    <w:rsid w:val="00E2667C"/>
    <w:rsid w:val="00E2792A"/>
    <w:rsid w:val="00E303E1"/>
    <w:rsid w:val="00E30491"/>
    <w:rsid w:val="00E32245"/>
    <w:rsid w:val="00E3226A"/>
    <w:rsid w:val="00E3372F"/>
    <w:rsid w:val="00E33FB8"/>
    <w:rsid w:val="00E35CF7"/>
    <w:rsid w:val="00E41CBE"/>
    <w:rsid w:val="00E41DDF"/>
    <w:rsid w:val="00E4513C"/>
    <w:rsid w:val="00E45CF4"/>
    <w:rsid w:val="00E52DA6"/>
    <w:rsid w:val="00E560DA"/>
    <w:rsid w:val="00E60955"/>
    <w:rsid w:val="00E61444"/>
    <w:rsid w:val="00E63387"/>
    <w:rsid w:val="00E636CD"/>
    <w:rsid w:val="00E67302"/>
    <w:rsid w:val="00E70707"/>
    <w:rsid w:val="00E723F8"/>
    <w:rsid w:val="00E76C15"/>
    <w:rsid w:val="00E864C4"/>
    <w:rsid w:val="00E87E4B"/>
    <w:rsid w:val="00E91258"/>
    <w:rsid w:val="00EA1FD3"/>
    <w:rsid w:val="00EA4A0F"/>
    <w:rsid w:val="00EA53DA"/>
    <w:rsid w:val="00EB0C6B"/>
    <w:rsid w:val="00EC1225"/>
    <w:rsid w:val="00EC3B36"/>
    <w:rsid w:val="00EC4B9C"/>
    <w:rsid w:val="00EC675C"/>
    <w:rsid w:val="00EC78C9"/>
    <w:rsid w:val="00ED0C5F"/>
    <w:rsid w:val="00ED2CD0"/>
    <w:rsid w:val="00ED68AE"/>
    <w:rsid w:val="00EE2319"/>
    <w:rsid w:val="00EE33E2"/>
    <w:rsid w:val="00EE69F2"/>
    <w:rsid w:val="00EE7CE2"/>
    <w:rsid w:val="00EF1187"/>
    <w:rsid w:val="00F0044F"/>
    <w:rsid w:val="00F05D0A"/>
    <w:rsid w:val="00F10898"/>
    <w:rsid w:val="00F10F3F"/>
    <w:rsid w:val="00F14F2B"/>
    <w:rsid w:val="00F16C21"/>
    <w:rsid w:val="00F17558"/>
    <w:rsid w:val="00F17B2C"/>
    <w:rsid w:val="00F17CD1"/>
    <w:rsid w:val="00F20DF3"/>
    <w:rsid w:val="00F215E6"/>
    <w:rsid w:val="00F23FFC"/>
    <w:rsid w:val="00F31704"/>
    <w:rsid w:val="00F32171"/>
    <w:rsid w:val="00F35972"/>
    <w:rsid w:val="00F47912"/>
    <w:rsid w:val="00F5473C"/>
    <w:rsid w:val="00F60BF6"/>
    <w:rsid w:val="00F7356E"/>
    <w:rsid w:val="00F83038"/>
    <w:rsid w:val="00F84854"/>
    <w:rsid w:val="00F849F1"/>
    <w:rsid w:val="00F86191"/>
    <w:rsid w:val="00F879D3"/>
    <w:rsid w:val="00F94600"/>
    <w:rsid w:val="00F9661A"/>
    <w:rsid w:val="00F96CB5"/>
    <w:rsid w:val="00F97CA7"/>
    <w:rsid w:val="00FA1922"/>
    <w:rsid w:val="00FA2D85"/>
    <w:rsid w:val="00FB5A30"/>
    <w:rsid w:val="00FC15C8"/>
    <w:rsid w:val="00FC1881"/>
    <w:rsid w:val="00FC483D"/>
    <w:rsid w:val="00FC73E3"/>
    <w:rsid w:val="00FD0F6D"/>
    <w:rsid w:val="00FD1ABB"/>
    <w:rsid w:val="00FD2EAE"/>
    <w:rsid w:val="00FD551A"/>
    <w:rsid w:val="00FE30B2"/>
    <w:rsid w:val="00FF11A5"/>
    <w:rsid w:val="00FF409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5A4E-2FED-4DAF-82C4-D3F23B791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567</Words>
  <Characters>3234</Characters>
  <Application>Microsoft Office Word</Application>
  <DocSecurity>0</DocSecurity>
  <Lines>26</Lines>
  <Paragraphs>7</Paragraphs>
  <ScaleCrop>false</ScaleCrop>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2025-02-07T02:05:00Z</dcterms:created>
  <dcterms:modified xsi:type="dcterms:W3CDTF">2025-02-07T07:41:00Z</dcterms:modified>
</cp:coreProperties>
</file>